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72" w:rsidRDefault="00A54D72" w:rsidP="00A54D72">
      <w:pPr>
        <w:jc w:val="center"/>
        <w:rPr>
          <w:b/>
          <w:bCs/>
        </w:rPr>
      </w:pPr>
      <w:r>
        <w:rPr>
          <w:b/>
          <w:bCs/>
        </w:rPr>
        <w:t xml:space="preserve">ОТЧЕТ  </w:t>
      </w:r>
    </w:p>
    <w:p w:rsidR="00A54D72" w:rsidRDefault="00A54D72" w:rsidP="00A54D72">
      <w:pPr>
        <w:jc w:val="center"/>
        <w:rPr>
          <w:b/>
          <w:bCs/>
        </w:rPr>
      </w:pPr>
      <w:r>
        <w:rPr>
          <w:b/>
          <w:bCs/>
        </w:rPr>
        <w:t>об итогах голосования на внеочередном общем собрании акционеров</w:t>
      </w:r>
    </w:p>
    <w:p w:rsidR="00A54D72" w:rsidRDefault="00A54D72" w:rsidP="00A54D72">
      <w:pPr>
        <w:jc w:val="center"/>
        <w:rPr>
          <w:b/>
          <w:bCs/>
        </w:rPr>
      </w:pPr>
      <w:r>
        <w:rPr>
          <w:b/>
          <w:bCs/>
        </w:rPr>
        <w:t>Акционерного общества  «Терминал Астафьева»</w:t>
      </w:r>
    </w:p>
    <w:p w:rsidR="00A54D72" w:rsidRDefault="00A54D72" w:rsidP="00A54D72">
      <w:pPr>
        <w:jc w:val="center"/>
        <w:rPr>
          <w:b/>
          <w:bCs/>
        </w:rPr>
      </w:pPr>
    </w:p>
    <w:p w:rsidR="00A54D72" w:rsidRDefault="00A54D72" w:rsidP="00A54D72">
      <w:pPr>
        <w:tabs>
          <w:tab w:val="left" w:pos="0"/>
        </w:tabs>
        <w:jc w:val="both"/>
        <w:rPr>
          <w:b/>
          <w:bCs/>
        </w:rPr>
      </w:pPr>
      <w:r>
        <w:t>Полное фирменное наименование общества: Акционерное общество «Терминал Астафьева».</w:t>
      </w:r>
    </w:p>
    <w:p w:rsidR="00A54D72" w:rsidRDefault="00A54D72" w:rsidP="00A54D72">
      <w:pPr>
        <w:tabs>
          <w:tab w:val="left" w:pos="0"/>
        </w:tabs>
        <w:jc w:val="both"/>
      </w:pPr>
      <w:r>
        <w:t>Место нахождения общества: Приморский край, г. Владивосток.</w:t>
      </w:r>
    </w:p>
    <w:p w:rsidR="00A54D72" w:rsidRDefault="00A54D72" w:rsidP="00A54D72">
      <w:pPr>
        <w:tabs>
          <w:tab w:val="left" w:pos="0"/>
        </w:tabs>
        <w:jc w:val="both"/>
      </w:pPr>
      <w:r>
        <w:t>Адрес общества</w:t>
      </w:r>
      <w:r>
        <w:rPr>
          <w:b/>
          <w:bCs/>
        </w:rPr>
        <w:t xml:space="preserve">: </w:t>
      </w:r>
      <w:r>
        <w:t>690012, Приморский край, г. Владивосток, ул. Херсонская, д.5, кабинет 25.</w:t>
      </w:r>
    </w:p>
    <w:p w:rsidR="00A54D72" w:rsidRDefault="00A54D72" w:rsidP="00A54D72">
      <w:pPr>
        <w:tabs>
          <w:tab w:val="left" w:pos="0"/>
        </w:tabs>
        <w:jc w:val="both"/>
        <w:rPr>
          <w:i/>
          <w:iCs/>
        </w:rPr>
      </w:pPr>
      <w:r>
        <w:t>Вид общего собрания: внеочередное.</w:t>
      </w:r>
    </w:p>
    <w:p w:rsidR="00A54D72" w:rsidRDefault="00A54D72" w:rsidP="00A54D72">
      <w:pPr>
        <w:pStyle w:val="2"/>
        <w:keepNext/>
        <w:tabs>
          <w:tab w:val="left" w:pos="0"/>
        </w:tabs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Форма проведения общего собрания: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заочное голосование.</w:t>
      </w:r>
      <w:r>
        <w:rPr>
          <w:b/>
          <w:bCs/>
          <w:i/>
          <w:iCs/>
          <w:sz w:val="22"/>
          <w:szCs w:val="22"/>
        </w:rPr>
        <w:t xml:space="preserve"> </w:t>
      </w:r>
    </w:p>
    <w:p w:rsidR="00A54D72" w:rsidRDefault="00A54D72" w:rsidP="00A54D72">
      <w:pPr>
        <w:pStyle w:val="2"/>
        <w:keepNext/>
        <w:tabs>
          <w:tab w:val="left" w:pos="0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Дата проведения общего собрания (дата окончания приема бюллетеней):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01 марта 2023 г.</w:t>
      </w:r>
    </w:p>
    <w:p w:rsidR="00A54D72" w:rsidRDefault="00A54D72" w:rsidP="00A54D72">
      <w:pPr>
        <w:pStyle w:val="2"/>
        <w:keepNext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Дата, на которую определяются (фиксируются) лица, имеющие право на участие в общем собрании акционеров: 05 февраля 2023 г.</w:t>
      </w:r>
    </w:p>
    <w:p w:rsidR="00A54D72" w:rsidRDefault="00A54D72" w:rsidP="00A54D72">
      <w:pPr>
        <w:pStyle w:val="3"/>
        <w:keepNext/>
        <w:tabs>
          <w:tab w:val="left" w:pos="0"/>
        </w:tabs>
        <w:spacing w:before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Повестка дня:</w:t>
      </w:r>
    </w:p>
    <w:p w:rsidR="00A54D72" w:rsidRDefault="00A54D72" w:rsidP="00A54D72">
      <w:pPr>
        <w:jc w:val="both"/>
      </w:pPr>
      <w:r>
        <w:t>1). О предоставлении согласия на совершение крупной сделки – заключение договора поручительства между АО «Терминал Астафьева» (ИНН 2508001618) далее «Общество» и Банком ВТБ (ПАО) (ОГРН 1027739609391, ИНН 7702070139) далее «Кредитор» или «Банк» в обеспечение исполнения обязательств АО «ДАЛЬКОМХОЛОД» (ИНН 2537003955) по кредитному соглашению № КС-ЦУ-702750-2022-00045 от 16.12.2022 г. на сумму до 1 250 000 000 (один миллиард двести пятьдесят миллионов) рублей, сроком до 2555 (две тысячи пятьсот пятьдесят пять) календарных дней.</w:t>
      </w:r>
    </w:p>
    <w:p w:rsidR="00A54D72" w:rsidRDefault="00A54D72" w:rsidP="00A54D72">
      <w:pPr>
        <w:jc w:val="both"/>
      </w:pPr>
      <w:r>
        <w:t>2). О предоставлении согласия на совершение сделки с заинтересованностью – заключение договора поручительства между Обществом и Банком в обеспечение исполнения обязательств АО «ДАЛЬКОМХОЛОД» (ИНН 2537003955) по кредитному соглашению № КС-ЦУ-702750-2022-00045 от 16.12.2022 г. на сумму до 1 250 000 000 (один миллиард двести пятьдесят миллионов) рублей, сроком до 2555 (две тысячи пятьсот пятьдесят пять) календарных дней.</w:t>
      </w:r>
    </w:p>
    <w:p w:rsidR="00A54D72" w:rsidRDefault="00A54D72" w:rsidP="00A54D72">
      <w:pPr>
        <w:jc w:val="both"/>
      </w:pPr>
      <w:r>
        <w:t>3). О предоставлении согласия на совершение сделки с заинтересованностью – заключение договора залога оборудования между Обществом и Банком в обеспечение исполнения обязательств АО «ДАЛЬКОМХОЛОД» (ИНН 2537003955) по кредитному соглашению № КС-ЦУ-702750-2022-00045 от 16.12.2022 г. на сумму до 1 250 000 000 (один миллиард двести пятьдесят миллионов) рублей, сроком до 2555 (две тысячи пятьсот пятьдесят пять) календарных дней.</w:t>
      </w:r>
    </w:p>
    <w:p w:rsidR="00A54D72" w:rsidRDefault="00A54D72" w:rsidP="00A54D72">
      <w:pPr>
        <w:jc w:val="both"/>
      </w:pPr>
    </w:p>
    <w:p w:rsidR="00A54D72" w:rsidRDefault="00A54D72" w:rsidP="00A54D72">
      <w:pPr>
        <w:jc w:val="both"/>
      </w:pPr>
      <w:r>
        <w:rPr>
          <w:b/>
          <w:bCs/>
        </w:rPr>
        <w:t>Вопрос № 1 повестки дня общего собрания: «</w:t>
      </w:r>
      <w:r>
        <w:t>О предоставлении согласия на совершение крупной сделки – заключение договора поручительства между АО «Терминал Астафьева» (ИНН 2508001618) далее «Общество» и Банком ВТБ (ПАО) (ОГРН 1027739609391, ИНН 7702070139) далее «Кредитор» или «Банк» в обеспечение исполнения обязательств АО «ДАЛЬКОМХОЛОД» (ИНН 2537003955) по кредитному соглашению № КС-ЦУ-702750-2022-00045 от 16.12.2022 г. на сумму до 1 250 000 000 (один миллиард двести пятьдесят миллионов) рублей, сроком до 2555 (две тысячи пятьсот пятьдесят пять) календарных дней».</w:t>
      </w:r>
    </w:p>
    <w:p w:rsidR="00A54D72" w:rsidRDefault="00A54D72" w:rsidP="00A54D72">
      <w:pPr>
        <w:tabs>
          <w:tab w:val="left" w:pos="4536"/>
        </w:tabs>
        <w:spacing w:before="120"/>
        <w:jc w:val="both"/>
      </w:pPr>
      <w:r>
        <w:rPr>
          <w:b/>
          <w:bCs/>
        </w:rPr>
        <w:t>Результаты голосования по  первому вопросу повестки дня</w:t>
      </w:r>
      <w:r>
        <w:t>:</w:t>
      </w:r>
    </w:p>
    <w:p w:rsidR="00A54D72" w:rsidRDefault="00A54D72" w:rsidP="00A54D72">
      <w:pPr>
        <w:tabs>
          <w:tab w:val="left" w:pos="4536"/>
        </w:tabs>
        <w:spacing w:before="120"/>
        <w:jc w:val="both"/>
      </w:pPr>
      <w:r>
        <w:t xml:space="preserve"> Число голосов, которыми обладали лица, включенные в список лиц, имевших право на участие в  общем собрании акционеров, по данному вопросу повестки дня общего собрания, -  830 380. </w:t>
      </w:r>
    </w:p>
    <w:p w:rsidR="00A54D72" w:rsidRDefault="00A54D72" w:rsidP="00A54D72">
      <w:pPr>
        <w:tabs>
          <w:tab w:val="left" w:pos="4536"/>
        </w:tabs>
        <w:spacing w:before="120"/>
        <w:jc w:val="both"/>
      </w:pPr>
      <w:r>
        <w:lastRenderedPageBreak/>
        <w:t>Число голосов, приходившихся на голосующие акции общества, по данному вопросу повестки дня общего собрания, определенное с учетом требований п. 4.24. Положение Банка России № 660-П от 16.11.2018г. «Об общих собраниях акционеров», – 472 104.</w:t>
      </w:r>
    </w:p>
    <w:p w:rsidR="00A54D72" w:rsidRDefault="00A54D72" w:rsidP="00A54D72">
      <w:pPr>
        <w:tabs>
          <w:tab w:val="left" w:pos="4536"/>
        </w:tabs>
        <w:spacing w:before="120"/>
        <w:jc w:val="both"/>
      </w:pPr>
      <w:r>
        <w:t>Число голосов, которыми обладали лица, принявшие участие  в общем  собрании, по данному вопросу повестки дня собрания,  - 249 269.</w:t>
      </w:r>
    </w:p>
    <w:p w:rsidR="00A54D72" w:rsidRDefault="00A54D72" w:rsidP="00A54D72">
      <w:pPr>
        <w:tabs>
          <w:tab w:val="left" w:pos="4536"/>
        </w:tabs>
        <w:jc w:val="both"/>
      </w:pPr>
      <w:r>
        <w:t>Кворум по данному вопросу повестки дня имеется.</w:t>
      </w:r>
    </w:p>
    <w:p w:rsidR="00A54D72" w:rsidRDefault="00A54D72" w:rsidP="00A54D72">
      <w:pPr>
        <w:tabs>
          <w:tab w:val="left" w:pos="4536"/>
        </w:tabs>
        <w:jc w:val="both"/>
      </w:pPr>
      <w:r>
        <w:t xml:space="preserve">Число голосов, отданных за каждый из вариантов голосования по данному вопросу повестки дня собрания:    </w:t>
      </w:r>
      <w:r>
        <w:rPr>
          <w:i/>
          <w:iCs/>
        </w:rPr>
        <w:t xml:space="preserve"> </w:t>
      </w:r>
      <w:r>
        <w:t>«за» -  249 118;   «против» -   45;   «воздержался» - 69.</w:t>
      </w:r>
    </w:p>
    <w:p w:rsidR="00A54D72" w:rsidRDefault="00A54D72" w:rsidP="00A54D72">
      <w:pPr>
        <w:jc w:val="both"/>
        <w:rPr>
          <w:b/>
          <w:bCs/>
        </w:rPr>
      </w:pPr>
    </w:p>
    <w:p w:rsidR="00A54D72" w:rsidRDefault="00A54D72" w:rsidP="00A54D72">
      <w:pPr>
        <w:jc w:val="both"/>
      </w:pPr>
      <w:r>
        <w:rPr>
          <w:b/>
          <w:bCs/>
        </w:rPr>
        <w:t>Решение собрания по первому вопросу повестки дня:</w:t>
      </w:r>
      <w:r>
        <w:rPr>
          <w:b/>
          <w:bCs/>
          <w:color w:val="FF0000"/>
        </w:rPr>
        <w:t xml:space="preserve"> </w:t>
      </w:r>
      <w:r>
        <w:t>Предоставить согласие на совершение крупной сделки – заключение  договора поручительства между АО «Терминал Астафьева» (ИНН 2508001618) и Банком ВТБ (ПАО) (ОГРН 1027739609391, ИНН 7702070139) в обеспечение исполнения обязательств ООО «Магистраль-ДВ» (ИНН 2540077890) по кредитному согласие на совершение крупной сделки – заключение  договора поручительства между Обществом и Банком в обеспечение исполнения обязательств АО «ДАЛЬКОМХОЛОД» (ИНН 2537003955) по кредитному соглашению  № КС-ЦУ-702750-2022-00045 от 16.12.2022 г. на сумму до 1 250 000 000 (один миллиард двести пятьдесят миллионов) рублей, сроком до 2555 (две тысячи пятьсот пятьдесят пять) календарных дней на следующих условиях:</w:t>
      </w:r>
    </w:p>
    <w:p w:rsidR="00A54D72" w:rsidRDefault="00A54D72" w:rsidP="00A54D72">
      <w:pPr>
        <w:jc w:val="both"/>
      </w:pPr>
    </w:p>
    <w:p w:rsidR="00A54D72" w:rsidRDefault="00A54D72" w:rsidP="00A54D72">
      <w:pPr>
        <w:jc w:val="both"/>
      </w:pPr>
      <w:r>
        <w:t>Вид сделки: Кредитная линия с лимитом выдачи.</w:t>
      </w:r>
    </w:p>
    <w:p w:rsidR="00A54D72" w:rsidRDefault="00A54D72" w:rsidP="00A54D72">
      <w:pPr>
        <w:jc w:val="both"/>
      </w:pPr>
      <w:r>
        <w:t>Сумма сделки: до 1 250 000 000,00 (один миллиард двести пятьдесят миллионов) рублей.</w:t>
      </w:r>
    </w:p>
    <w:p w:rsidR="00A54D72" w:rsidRDefault="00A54D72" w:rsidP="00A54D72">
      <w:pPr>
        <w:jc w:val="both"/>
      </w:pPr>
      <w:r>
        <w:t>Срок сделки: до 2555 дней календарных дней с даты заключения кредитного соглашения в соответствии с графиком погашения кредита, предусмотренным кредитным соглашением.</w:t>
      </w:r>
    </w:p>
    <w:p w:rsidR="00A54D72" w:rsidRDefault="00A54D72" w:rsidP="00A54D72">
      <w:pPr>
        <w:jc w:val="both"/>
      </w:pPr>
      <w:r>
        <w:t>Процентная ставка:</w:t>
      </w:r>
    </w:p>
    <w:p w:rsidR="00A54D72" w:rsidRDefault="00A54D72" w:rsidP="00A54D72">
      <w:pPr>
        <w:jc w:val="both"/>
      </w:pPr>
      <w:r>
        <w:t>не более 12,5 процентов годовых/ плавающая процентная ставка на базе ключевой ставки Банка России, утвержденная в соответствии с установленным в Банке порядком, определяется как Ключевая ставка Банка России, увеличенная не более чем на 4 процента годовых.</w:t>
      </w:r>
    </w:p>
    <w:p w:rsidR="00A54D72" w:rsidRDefault="00A54D72" w:rsidP="00A54D72">
      <w:pPr>
        <w:jc w:val="both"/>
      </w:pPr>
      <w:r>
        <w:t>Кредитор вправе в одностороннем порядке увеличить размер процентной ставки по Кредиту/Кредитам в случае увеличения следующих процентных индикаторов:</w:t>
      </w:r>
    </w:p>
    <w:p w:rsidR="00A54D72" w:rsidRDefault="00A54D72" w:rsidP="00A54D72">
      <w:pPr>
        <w:jc w:val="both"/>
      </w:pPr>
      <w:r>
        <w:t>а) ключевой ставки Банка России, публикуемой:</w:t>
      </w:r>
    </w:p>
    <w:p w:rsidR="00A54D72" w:rsidRDefault="00A54D72" w:rsidP="00A54D72">
      <w:pPr>
        <w:jc w:val="both"/>
      </w:pPr>
      <w:r>
        <w:t>• на сайте Банка России в сети Интернет (</w:t>
      </w:r>
      <w:hyperlink r:id="rId4" w:history="1">
        <w:r>
          <w:rPr>
            <w:color w:val="0000FF"/>
            <w:u w:val="single"/>
          </w:rPr>
          <w:t>www.cbr.ru</w:t>
        </w:r>
      </w:hyperlink>
      <w:r>
        <w:t>);</w:t>
      </w:r>
    </w:p>
    <w:p w:rsidR="00A54D72" w:rsidRDefault="00A54D72" w:rsidP="00A54D72">
      <w:pPr>
        <w:jc w:val="both"/>
      </w:pPr>
      <w:r>
        <w:t>и/или</w:t>
      </w:r>
    </w:p>
    <w:p w:rsidR="00A54D72" w:rsidRDefault="00A54D72" w:rsidP="00A54D72">
      <w:pPr>
        <w:jc w:val="both"/>
      </w:pPr>
      <w:r>
        <w:t>б) среднеарифметического значения за календарный месяц ставки бескупонной доходности ОФЗ со сроком до погашения 3 (Три) года по данным, публикуемым на:</w:t>
      </w:r>
    </w:p>
    <w:p w:rsidR="00A54D72" w:rsidRDefault="00A54D72" w:rsidP="00A54D72">
      <w:pPr>
        <w:jc w:val="both"/>
      </w:pPr>
      <w:r>
        <w:t>• на сайте Банка России в сети Интернет (</w:t>
      </w:r>
      <w:hyperlink r:id="rId5" w:history="1">
        <w:r>
          <w:rPr>
            <w:color w:val="0000FF"/>
            <w:u w:val="single"/>
          </w:rPr>
          <w:t>www.cbr.ru</w:t>
        </w:r>
      </w:hyperlink>
      <w:r>
        <w:t>);</w:t>
      </w:r>
    </w:p>
    <w:p w:rsidR="00A54D72" w:rsidRDefault="00A54D72" w:rsidP="00A54D72">
      <w:pPr>
        <w:jc w:val="both"/>
      </w:pPr>
      <w:r>
        <w:t>• на сайте Московской Биржи в сети Интернет (</w:t>
      </w:r>
      <w:hyperlink r:id="rId6" w:history="1">
        <w:r>
          <w:rPr>
            <w:color w:val="0000FF"/>
            <w:u w:val="single"/>
          </w:rPr>
          <w:t>www.moex.com</w:t>
        </w:r>
      </w:hyperlink>
      <w:r>
        <w:t>).</w:t>
      </w:r>
    </w:p>
    <w:p w:rsidR="00A54D72" w:rsidRDefault="00A54D72" w:rsidP="00A54D72">
      <w:pPr>
        <w:jc w:val="both"/>
      </w:pPr>
      <w:r>
        <w:t>Увеличение в одностороннем порядке процентной ставки осуществляется на величину роста процентного индикатора.</w:t>
      </w:r>
    </w:p>
    <w:p w:rsidR="00A54D72" w:rsidRDefault="00A54D72" w:rsidP="00A54D72">
      <w:pPr>
        <w:jc w:val="both"/>
      </w:pPr>
      <w:r>
        <w:lastRenderedPageBreak/>
        <w:t>Неустойки/надбавка к процентной ставке за поддержание кредитовых оборотов менее установленного размера: 1 % годовых;</w:t>
      </w:r>
    </w:p>
    <w:p w:rsidR="00A54D72" w:rsidRDefault="00A54D72" w:rsidP="00A54D72">
      <w:pPr>
        <w:jc w:val="both"/>
      </w:pPr>
      <w:r>
        <w:t>Неустойка/надбавка к процентной ставке за поддержание дебетовых оборотов менее установленного размера: 1 % годовых;</w:t>
      </w:r>
    </w:p>
    <w:p w:rsidR="00A54D72" w:rsidRDefault="00A54D72" w:rsidP="00A54D72">
      <w:pPr>
        <w:jc w:val="both"/>
      </w:pPr>
    </w:p>
    <w:p w:rsidR="00A54D72" w:rsidRDefault="00A54D72" w:rsidP="00A54D72">
      <w:pPr>
        <w:jc w:val="both"/>
      </w:pPr>
      <w:r>
        <w:t>В случае возникновения основания для применения надбавки одновременно за невыполнение кредитовых оборотов и дебетовых оборотов, надбавка может быть применена только по одному из оснований.</w:t>
      </w:r>
    </w:p>
    <w:p w:rsidR="00A54D72" w:rsidRDefault="00A54D72" w:rsidP="00A54D72">
      <w:pPr>
        <w:jc w:val="both"/>
      </w:pPr>
      <w:r>
        <w:t>Комиссии/ вознаграждения:</w:t>
      </w:r>
    </w:p>
    <w:p w:rsidR="00A54D72" w:rsidRDefault="00A54D72" w:rsidP="00A54D72">
      <w:pPr>
        <w:jc w:val="both"/>
      </w:pPr>
      <w:r>
        <w:t>•</w:t>
      </w:r>
      <w:r>
        <w:tab/>
        <w:t>За обязательство: до 0,65% годовых, начисляемая на неиспользованную сумму лимита выдачи.</w:t>
      </w:r>
    </w:p>
    <w:p w:rsidR="00A54D72" w:rsidRDefault="00A54D72" w:rsidP="00A54D72">
      <w:pPr>
        <w:jc w:val="both"/>
      </w:pPr>
      <w:r>
        <w:t>Штрафы и неустойки:</w:t>
      </w:r>
    </w:p>
    <w:p w:rsidR="00A54D72" w:rsidRDefault="00A54D72" w:rsidP="00A54D72">
      <w:pPr>
        <w:jc w:val="both"/>
      </w:pPr>
      <w:r>
        <w:t>•</w:t>
      </w:r>
      <w:r>
        <w:tab/>
        <w:t xml:space="preserve">штраф в размере 0.01% от суммы остатка основного долга по кредитному соглашению, сложившегося на момент выявления нарушения, в случае неисполнения\ненадлежащего исполнения заемщиком финансовых ковенант; </w:t>
      </w:r>
    </w:p>
    <w:p w:rsidR="00A54D72" w:rsidRDefault="00A54D72" w:rsidP="00A54D72">
      <w:pPr>
        <w:jc w:val="both"/>
      </w:pPr>
      <w:r>
        <w:t>•</w:t>
      </w:r>
      <w:r>
        <w:tab/>
        <w:t xml:space="preserve">неустойка в размере 1/365 максимальной процентной ставки от суммы просроченной задолженности по Основному долгу за каждый день просрочки, начисляемая в случае возникновения просроченной задолженности по Основному долгу; </w:t>
      </w:r>
    </w:p>
    <w:p w:rsidR="00A54D72" w:rsidRDefault="00A54D72" w:rsidP="00A54D72">
      <w:pPr>
        <w:jc w:val="both"/>
      </w:pPr>
      <w:r>
        <w:t>•</w:t>
      </w:r>
      <w:r>
        <w:tab/>
        <w:t>неустойка в 2/365 максимальной процентной ставки от суммы просроченной задолженности по процентам/комиссиям за каждый день просрочки, начисляемая в случае возникновения просроченной задолженности по процентам/комиссии;</w:t>
      </w:r>
    </w:p>
    <w:p w:rsidR="00A54D72" w:rsidRDefault="00A54D72" w:rsidP="00A54D72">
      <w:pPr>
        <w:jc w:val="both"/>
      </w:pPr>
      <w:r>
        <w:t>•</w:t>
      </w:r>
      <w:r>
        <w:tab/>
        <w:t>неустойка в размере 1/365 максимальной процентной ставки от суммы неисполненного или ненадлежащим образом исполненного обязательства за каждый день просрочки, в случае неисполнения или ненадлежащего исполнения Поручителем денежных обязательств по Договору поручительства;</w:t>
      </w:r>
    </w:p>
    <w:p w:rsidR="00A54D72" w:rsidRDefault="00A54D72" w:rsidP="00A54D72">
      <w:pPr>
        <w:jc w:val="both"/>
      </w:pPr>
      <w:r>
        <w:t>•</w:t>
      </w:r>
      <w:r>
        <w:tab/>
        <w:t>иные комиссии, надбавки к процентной ставке и санкции (неустойки, штрафы, пени и т.д.), предусмотренные кредитным соглашением и договором поручительства</w:t>
      </w:r>
    </w:p>
    <w:p w:rsidR="00A54D72" w:rsidRDefault="00A54D72" w:rsidP="00A54D72">
      <w:pPr>
        <w:jc w:val="both"/>
      </w:pPr>
      <w:r>
        <w:t>•</w:t>
      </w:r>
      <w:r>
        <w:tab/>
        <w:t xml:space="preserve">вид ответственности поручителя: солидарная; </w:t>
      </w:r>
    </w:p>
    <w:p w:rsidR="00A54D72" w:rsidRDefault="00A54D72" w:rsidP="00A54D72">
      <w:pPr>
        <w:jc w:val="both"/>
      </w:pPr>
      <w:r>
        <w:t>•</w:t>
      </w:r>
      <w:r>
        <w:tab/>
        <w:t xml:space="preserve">размер ответственности поручителя: на всю сумму обязательств; </w:t>
      </w:r>
    </w:p>
    <w:p w:rsidR="00A54D72" w:rsidRDefault="00A54D72" w:rsidP="00A54D72">
      <w:pPr>
        <w:jc w:val="both"/>
      </w:pPr>
      <w:r>
        <w:t>•</w:t>
      </w:r>
      <w:r>
        <w:tab/>
        <w:t>срок поручительства – срок сделки, увеличенный на 3 года.</w:t>
      </w:r>
    </w:p>
    <w:p w:rsidR="00A54D72" w:rsidRDefault="00A54D72" w:rsidP="00A54D7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</w:p>
    <w:p w:rsidR="00A54D72" w:rsidRDefault="00A54D72" w:rsidP="00A54D72">
      <w:pPr>
        <w:jc w:val="both"/>
      </w:pPr>
      <w:r>
        <w:rPr>
          <w:b/>
          <w:bCs/>
        </w:rPr>
        <w:t>Вопрос № 2 повестки дня общего собрания:</w:t>
      </w:r>
      <w:r>
        <w:t xml:space="preserve"> «О предоставлении согласия на совершение сделки с заинтересованностью – заключение договора поручительства между Обществом и Банком в обеспечение исполнения обязательств АО «ДАЛЬКОМХОЛОД» (ИНН 2537003955) по кредитному соглашению № КС-ЦУ-702750-2022-00045 от 16.12.2022 г. на сумму до 1 250 000 000 (один миллиард двести пятьдесят миллионов) рублей, сроком до 2555 (две тысячи пятьсот пятьдесят пять) календарных дней</w:t>
      </w:r>
      <w:r>
        <w:rPr>
          <w:sz w:val="23"/>
          <w:szCs w:val="23"/>
        </w:rPr>
        <w:t>».</w:t>
      </w:r>
    </w:p>
    <w:p w:rsidR="00A54D72" w:rsidRDefault="00A54D72" w:rsidP="00A54D72">
      <w:pPr>
        <w:jc w:val="both"/>
      </w:pPr>
      <w:r>
        <w:rPr>
          <w:b/>
          <w:bCs/>
        </w:rPr>
        <w:t>Результаты голосования по  второму  вопросу повестки дня</w:t>
      </w:r>
      <w:r>
        <w:t>:</w:t>
      </w:r>
    </w:p>
    <w:p w:rsidR="00A54D72" w:rsidRDefault="00A54D72" w:rsidP="00A54D72">
      <w:pPr>
        <w:tabs>
          <w:tab w:val="left" w:pos="4536"/>
        </w:tabs>
        <w:spacing w:before="120"/>
        <w:jc w:val="both"/>
      </w:pPr>
      <w:r>
        <w:t xml:space="preserve">Число голосов, которыми обладали лица, включенные в список лиц, имевших право на участие в  общем собрании акционеров, по данному вопросу повестки дня общего собрания, -  830 380. </w:t>
      </w:r>
    </w:p>
    <w:p w:rsidR="00A54D72" w:rsidRDefault="00A54D72" w:rsidP="00A54D72">
      <w:pPr>
        <w:tabs>
          <w:tab w:val="left" w:pos="4536"/>
        </w:tabs>
        <w:spacing w:before="120"/>
        <w:jc w:val="both"/>
      </w:pPr>
      <w:r>
        <w:lastRenderedPageBreak/>
        <w:t>Число голосов, приходившихся на голосующие акции общества, по данному вопросу повестки дня общего собрания, определенное с учетом требований п. 4.24. Положение Банка России № 660-П от 16.11.2018г. «Об общих собраниях акционеров», – 472 104.</w:t>
      </w:r>
    </w:p>
    <w:p w:rsidR="00A54D72" w:rsidRDefault="00A54D72" w:rsidP="00A54D72">
      <w:pPr>
        <w:tabs>
          <w:tab w:val="left" w:pos="4536"/>
        </w:tabs>
        <w:spacing w:before="120"/>
        <w:jc w:val="both"/>
      </w:pPr>
      <w:r>
        <w:t>Число голосов, которыми обладали лица, принявшие участие  в общем  собрании, по данному вопросу повестки дня собрания,  - 249 269.</w:t>
      </w:r>
    </w:p>
    <w:p w:rsidR="00A54D72" w:rsidRDefault="00A54D72" w:rsidP="00A54D72">
      <w:pPr>
        <w:tabs>
          <w:tab w:val="left" w:pos="4536"/>
        </w:tabs>
        <w:spacing w:before="120"/>
        <w:jc w:val="both"/>
      </w:pPr>
      <w:r>
        <w:t>Число голосов, которыми обладали лица, не заинтересованные в совершении обществом сделки,  принявшие участие  в общем  собрании акционеров по вопросу повестки дня собрания,  - 5 299.</w:t>
      </w:r>
    </w:p>
    <w:p w:rsidR="00A54D72" w:rsidRDefault="00A54D72" w:rsidP="00A54D72">
      <w:pPr>
        <w:tabs>
          <w:tab w:val="left" w:pos="4536"/>
        </w:tabs>
        <w:jc w:val="both"/>
      </w:pPr>
      <w:r>
        <w:t>Кворум по данному вопросу повестки дня имеется.</w:t>
      </w:r>
    </w:p>
    <w:p w:rsidR="00A54D72" w:rsidRDefault="00A54D72" w:rsidP="00A54D72">
      <w:pPr>
        <w:tabs>
          <w:tab w:val="left" w:pos="4536"/>
        </w:tabs>
        <w:jc w:val="both"/>
      </w:pPr>
      <w:r>
        <w:t>Число голосов, отданных за каждый из вариантов голосования по данному вопросу повестки дня собрания:</w:t>
      </w:r>
    </w:p>
    <w:p w:rsidR="00A54D72" w:rsidRDefault="00A54D72" w:rsidP="00A54D72">
      <w:pPr>
        <w:ind w:firstLine="709"/>
        <w:jc w:val="both"/>
      </w:pPr>
      <w:r>
        <w:rPr>
          <w:i/>
          <w:iCs/>
        </w:rPr>
        <w:t xml:space="preserve"> </w:t>
      </w:r>
      <w:r>
        <w:t>«за» -  5148;     «против» -   45;     «воздержался» - 69.</w:t>
      </w:r>
    </w:p>
    <w:p w:rsidR="00A54D72" w:rsidRDefault="00A54D72" w:rsidP="00A54D72">
      <w:pPr>
        <w:jc w:val="both"/>
      </w:pPr>
    </w:p>
    <w:p w:rsidR="00A54D72" w:rsidRDefault="00A54D72" w:rsidP="00A54D72">
      <w:pPr>
        <w:jc w:val="both"/>
      </w:pPr>
      <w:r>
        <w:rPr>
          <w:b/>
          <w:bCs/>
        </w:rPr>
        <w:t>Решение собрания по второму вопросу повестки дня:</w:t>
      </w:r>
      <w:r>
        <w:rPr>
          <w:sz w:val="23"/>
          <w:szCs w:val="23"/>
        </w:rPr>
        <w:t xml:space="preserve"> </w:t>
      </w:r>
      <w:r>
        <w:t>Предоставить согласие на совершение сделки с заинтересованностью Кондратова Руслана Викторовича (является членом Совета директоров в АО «Терминал Астафьева» и АО «ДАЛЬКОМХОЛОД», а также является Генеральным директором Выгодоприобретателя), Берлинского Сергея Васильевича (является членом Совета директоров в АО «Терминал Астафьева» и АО «ДАЛЬКОМХОЛОД»), Оськина Алексея Николаевича (является членом Совета директоров в АО «Терминал Астафьева» и АО «ДАЛЬКОМХОЛОД»), а именно договора поручительства между Обществом и Банком в обеспечение исполнения обязательств АО «ДАЛЬКОМХОЛОД» (ИНН 2537003955) по кредитному соглашению  № КС-ЦУ-702750-2022-00045 от 16.12.2022 г. на сумму до 1 250 000 000 (один миллиард двести пятьдесят миллионов) рублей, сроком до 2555 (две тысячи пятьсот пятьдесят пять) календарных дней на следующих условиях:</w:t>
      </w:r>
    </w:p>
    <w:p w:rsidR="00A54D72" w:rsidRDefault="00A54D72" w:rsidP="00A54D72">
      <w:pPr>
        <w:jc w:val="both"/>
      </w:pPr>
      <w:r>
        <w:t>Вид сделки: Кредитная линия с лимитом выдачи.</w:t>
      </w:r>
    </w:p>
    <w:p w:rsidR="00A54D72" w:rsidRDefault="00A54D72" w:rsidP="00A54D72">
      <w:pPr>
        <w:jc w:val="both"/>
      </w:pPr>
      <w:r>
        <w:t>Сумма сделки: до 1 250 000 000,00 (один миллиард двести пятьдесят миллионов) рублей.</w:t>
      </w:r>
    </w:p>
    <w:p w:rsidR="00A54D72" w:rsidRDefault="00A54D72" w:rsidP="00A54D72">
      <w:pPr>
        <w:jc w:val="both"/>
      </w:pPr>
      <w:r>
        <w:t>Срок сделки: до 2555 дней календарных дней с даты заключения кредитного соглашения в соответствии с графиком погашения кредита, предусмотренным кредитным соглашением.</w:t>
      </w:r>
    </w:p>
    <w:p w:rsidR="00A54D72" w:rsidRDefault="00A54D72" w:rsidP="00A54D72">
      <w:pPr>
        <w:jc w:val="both"/>
      </w:pPr>
      <w:r>
        <w:t>Процентная ставка:</w:t>
      </w:r>
    </w:p>
    <w:p w:rsidR="00A54D72" w:rsidRDefault="00A54D72" w:rsidP="00A54D72">
      <w:pPr>
        <w:jc w:val="both"/>
      </w:pPr>
      <w:r>
        <w:t>не более 12,5 процентов годовых/ плавающая процентная ставка на базе ключевой ставки Банка России, утвержденная в соответствии с установленным в Банке порядком, определяется как Ключевая ставка Банка России, увеличенная не более чем на 4 процента годовых.</w:t>
      </w:r>
    </w:p>
    <w:p w:rsidR="00A54D72" w:rsidRDefault="00A54D72" w:rsidP="00A54D72">
      <w:pPr>
        <w:jc w:val="both"/>
      </w:pPr>
      <w:r>
        <w:t>Кредитор вправе в одностороннем порядке увеличить размер процентной ставки по Кредиту/Кредитам в случае увеличения следующих процентных индикаторов:</w:t>
      </w:r>
    </w:p>
    <w:p w:rsidR="00A54D72" w:rsidRDefault="00A54D72" w:rsidP="00A54D72">
      <w:pPr>
        <w:jc w:val="both"/>
      </w:pPr>
      <w:r>
        <w:t>а) ключевой ставки Банка России, публикуемой:</w:t>
      </w:r>
    </w:p>
    <w:p w:rsidR="00A54D72" w:rsidRDefault="00A54D72" w:rsidP="00A54D72">
      <w:pPr>
        <w:jc w:val="both"/>
      </w:pPr>
      <w:r>
        <w:t>• на сайте Банка России в сети Интернет (</w:t>
      </w:r>
      <w:hyperlink r:id="rId7" w:history="1">
        <w:r>
          <w:rPr>
            <w:color w:val="0000FF"/>
            <w:u w:val="single"/>
          </w:rPr>
          <w:t>www.cbr.ru</w:t>
        </w:r>
      </w:hyperlink>
      <w:r>
        <w:t>);</w:t>
      </w:r>
    </w:p>
    <w:p w:rsidR="00A54D72" w:rsidRDefault="00A54D72" w:rsidP="00A54D72">
      <w:pPr>
        <w:jc w:val="both"/>
      </w:pPr>
      <w:r>
        <w:t>и/или</w:t>
      </w:r>
    </w:p>
    <w:p w:rsidR="00A54D72" w:rsidRDefault="00A54D72" w:rsidP="00A54D72">
      <w:pPr>
        <w:jc w:val="both"/>
      </w:pPr>
      <w:r>
        <w:t>б) среднеарифметического значения за календарный месяц ставки бескупонной доходности ОФЗ со сроком до погашения 3 (Три) года по данным, публикуемым на:</w:t>
      </w:r>
    </w:p>
    <w:p w:rsidR="00A54D72" w:rsidRDefault="00A54D72" w:rsidP="00A54D72">
      <w:pPr>
        <w:jc w:val="both"/>
      </w:pPr>
      <w:r>
        <w:t>• на сайте Банка России в сети Интернет (</w:t>
      </w:r>
      <w:hyperlink r:id="rId8" w:history="1">
        <w:r>
          <w:rPr>
            <w:color w:val="0000FF"/>
            <w:u w:val="single"/>
          </w:rPr>
          <w:t>www.cbr.ru</w:t>
        </w:r>
      </w:hyperlink>
      <w:r>
        <w:t>);</w:t>
      </w:r>
    </w:p>
    <w:p w:rsidR="00A54D72" w:rsidRDefault="00A54D72" w:rsidP="00A54D72">
      <w:pPr>
        <w:jc w:val="both"/>
      </w:pPr>
      <w:r>
        <w:lastRenderedPageBreak/>
        <w:t>• на сайте Московской Биржи в сети Интернет (</w:t>
      </w:r>
      <w:hyperlink r:id="rId9" w:history="1">
        <w:r>
          <w:rPr>
            <w:color w:val="0000FF"/>
            <w:u w:val="single"/>
          </w:rPr>
          <w:t>www.moex.com</w:t>
        </w:r>
      </w:hyperlink>
      <w:r>
        <w:t>).</w:t>
      </w:r>
    </w:p>
    <w:p w:rsidR="00A54D72" w:rsidRDefault="00A54D72" w:rsidP="00A54D72">
      <w:pPr>
        <w:jc w:val="both"/>
      </w:pPr>
      <w:r>
        <w:t>Увеличение в одностороннем порядке процентной ставки осуществляется на величину роста процентного индикатора.</w:t>
      </w:r>
    </w:p>
    <w:p w:rsidR="00A54D72" w:rsidRDefault="00A54D72" w:rsidP="00A54D72">
      <w:pPr>
        <w:jc w:val="both"/>
      </w:pPr>
      <w:r>
        <w:t>Неустойки/надбавка к процентной ставке за поддержание кредитовых оборотов менее установленного размера: 1 % годовых;</w:t>
      </w:r>
    </w:p>
    <w:p w:rsidR="00A54D72" w:rsidRDefault="00A54D72" w:rsidP="00A54D72">
      <w:pPr>
        <w:jc w:val="both"/>
      </w:pPr>
      <w:r>
        <w:t>Неустойка/надбавка к процентной ставке за поддержание дебетовых оборотов менее установленного размера: 1 % годовых;</w:t>
      </w:r>
    </w:p>
    <w:p w:rsidR="00A54D72" w:rsidRDefault="00A54D72" w:rsidP="00A54D72">
      <w:pPr>
        <w:jc w:val="both"/>
      </w:pPr>
      <w:r>
        <w:t>В случае возникновения основания для применения надбавки одновременно за невыполнение кредитовых оборотов и дебетовых оборотов, надбавка может быть применена только по одному из оснований.</w:t>
      </w:r>
    </w:p>
    <w:p w:rsidR="00A54D72" w:rsidRDefault="00A54D72" w:rsidP="00A54D72">
      <w:pPr>
        <w:jc w:val="both"/>
      </w:pPr>
      <w:r>
        <w:t>Комиссии/ вознаграждения:</w:t>
      </w:r>
    </w:p>
    <w:p w:rsidR="00A54D72" w:rsidRDefault="00A54D72" w:rsidP="00A54D72">
      <w:pPr>
        <w:jc w:val="both"/>
      </w:pPr>
      <w:r>
        <w:t>•</w:t>
      </w:r>
      <w:r>
        <w:tab/>
        <w:t>За обязательство: до 0,65% годовых, начисляемая на неиспользованную сумму лимита выдачи.</w:t>
      </w:r>
    </w:p>
    <w:p w:rsidR="00A54D72" w:rsidRDefault="00A54D72" w:rsidP="00A54D72">
      <w:pPr>
        <w:jc w:val="both"/>
      </w:pPr>
      <w:r>
        <w:t>Штрафы и неустойки:</w:t>
      </w:r>
    </w:p>
    <w:p w:rsidR="00A54D72" w:rsidRDefault="00A54D72" w:rsidP="00A54D72">
      <w:pPr>
        <w:jc w:val="both"/>
      </w:pPr>
      <w:r>
        <w:t>•</w:t>
      </w:r>
      <w:r>
        <w:tab/>
        <w:t xml:space="preserve">штраф в размере 0.01% от суммы остатка основного долга по кредитному соглашению, сложившегося на момент выявления нарушения, в случае неисполнения\ненадлежащего исполнения заемщиком финансовых ковенант; </w:t>
      </w:r>
    </w:p>
    <w:p w:rsidR="00A54D72" w:rsidRDefault="00A54D72" w:rsidP="00A54D72">
      <w:pPr>
        <w:jc w:val="both"/>
      </w:pPr>
      <w:r>
        <w:t>•</w:t>
      </w:r>
      <w:r>
        <w:tab/>
        <w:t xml:space="preserve">неустойка в размере 1/365 максимальной процентной ставки от суммы просроченной задолженности по Основному долгу за каждый день просрочки, начисляемая в случае возникновения просроченной задолженности по Основному долгу; </w:t>
      </w:r>
    </w:p>
    <w:p w:rsidR="00A54D72" w:rsidRDefault="00A54D72" w:rsidP="00A54D72">
      <w:pPr>
        <w:jc w:val="both"/>
      </w:pPr>
      <w:r>
        <w:t>•</w:t>
      </w:r>
      <w:r>
        <w:tab/>
        <w:t>неустойка в 2/365 максимальной процентной ставки от суммы просроченной задолженности по процентам/комиссиям за каждый день просрочки, начисляемая в случае возникновения просроченной задолженности по процентам/комиссии;</w:t>
      </w:r>
    </w:p>
    <w:p w:rsidR="00A54D72" w:rsidRDefault="00A54D72" w:rsidP="00A54D72">
      <w:pPr>
        <w:jc w:val="both"/>
      </w:pPr>
      <w:r>
        <w:t>•</w:t>
      </w:r>
      <w:r>
        <w:tab/>
        <w:t>неустойка в размере 1/365 максимальной процентной ставки от суммы неисполненного или ненадлежащим образом исполненного обязательства за каждый день просрочки, в случае неисполнения или ненадлежащего исполнения Поручителем денежных обязательств по Договору поручительства;</w:t>
      </w:r>
    </w:p>
    <w:p w:rsidR="00A54D72" w:rsidRDefault="00A54D72" w:rsidP="00A54D72">
      <w:pPr>
        <w:jc w:val="both"/>
      </w:pPr>
      <w:r>
        <w:t>•</w:t>
      </w:r>
      <w:r>
        <w:tab/>
        <w:t>иные комиссии, надбавки к процентной ставке и санкции (неустойки, штрафы, пени и т.д.), предусмотренные кредитным соглашением и договором поручительства</w:t>
      </w:r>
    </w:p>
    <w:p w:rsidR="00A54D72" w:rsidRDefault="00A54D72" w:rsidP="00A54D72">
      <w:pPr>
        <w:jc w:val="both"/>
      </w:pPr>
      <w:r>
        <w:t>•</w:t>
      </w:r>
      <w:r>
        <w:tab/>
        <w:t xml:space="preserve">вид ответственности поручителя: солидарная; </w:t>
      </w:r>
    </w:p>
    <w:p w:rsidR="00A54D72" w:rsidRDefault="00A54D72" w:rsidP="00A54D72">
      <w:pPr>
        <w:jc w:val="both"/>
      </w:pPr>
      <w:r>
        <w:t>•</w:t>
      </w:r>
      <w:r>
        <w:tab/>
        <w:t xml:space="preserve">размер ответственности поручителя: на всю сумму обязательств; </w:t>
      </w:r>
    </w:p>
    <w:p w:rsidR="00A54D72" w:rsidRDefault="00A54D72" w:rsidP="00A54D72">
      <w:pPr>
        <w:jc w:val="both"/>
      </w:pPr>
      <w:r>
        <w:t>•</w:t>
      </w:r>
      <w:r>
        <w:tab/>
        <w:t>срок поручительства – срок сделки, увеличенный на 3 года.</w:t>
      </w:r>
    </w:p>
    <w:p w:rsidR="00A54D72" w:rsidRDefault="00A54D72" w:rsidP="00A54D72">
      <w:pPr>
        <w:jc w:val="both"/>
        <w:rPr>
          <w:sz w:val="20"/>
          <w:szCs w:val="20"/>
        </w:rPr>
      </w:pPr>
    </w:p>
    <w:p w:rsidR="00A54D72" w:rsidRDefault="00A54D72" w:rsidP="00A54D72">
      <w:pPr>
        <w:jc w:val="both"/>
        <w:rPr>
          <w:b/>
          <w:bCs/>
          <w:sz w:val="23"/>
          <w:szCs w:val="23"/>
        </w:rPr>
      </w:pPr>
      <w:r>
        <w:rPr>
          <w:b/>
          <w:bCs/>
        </w:rPr>
        <w:t>Вопрос № 3 повестки дня общего собрания:</w:t>
      </w:r>
      <w:r>
        <w:rPr>
          <w:sz w:val="23"/>
          <w:szCs w:val="23"/>
        </w:rPr>
        <w:t xml:space="preserve"> «</w:t>
      </w:r>
      <w:r>
        <w:t>О предоставлении согласия на совершение сделки с заинтересованностью – заключение договора залога оборудования между Обществом и Банком в обеспечение исполнения обязательств АО «ДАЛЬКОМХОЛОД» (ИНН 2537003955) по кредитному соглашению № КС-ЦУ-702750-2022-00045 от 16.12.2022 г. на сумму до 1 250 000 000 (один миллиард двести пятьдесят миллионов) рублей, сроком до 2555 (две тысячи пятьсот пятьдесят пять) календарных дней</w:t>
      </w:r>
      <w:r>
        <w:rPr>
          <w:sz w:val="23"/>
          <w:szCs w:val="23"/>
        </w:rPr>
        <w:t>».</w:t>
      </w:r>
    </w:p>
    <w:p w:rsidR="00A54D72" w:rsidRDefault="00A54D72" w:rsidP="00A54D72">
      <w:pPr>
        <w:jc w:val="both"/>
        <w:rPr>
          <w:b/>
          <w:bCs/>
        </w:rPr>
      </w:pPr>
    </w:p>
    <w:p w:rsidR="00A54D72" w:rsidRDefault="00A54D72" w:rsidP="00A54D72">
      <w:pPr>
        <w:jc w:val="both"/>
      </w:pPr>
      <w:r>
        <w:rPr>
          <w:b/>
          <w:bCs/>
        </w:rPr>
        <w:lastRenderedPageBreak/>
        <w:t>Результаты голосования по  третьему  вопросу повестки дня</w:t>
      </w:r>
      <w:r>
        <w:t>:</w:t>
      </w:r>
    </w:p>
    <w:p w:rsidR="00A54D72" w:rsidRDefault="00A54D72" w:rsidP="00A54D72">
      <w:pPr>
        <w:tabs>
          <w:tab w:val="left" w:pos="4536"/>
        </w:tabs>
        <w:spacing w:before="120"/>
        <w:jc w:val="both"/>
      </w:pPr>
      <w:r>
        <w:t xml:space="preserve">Число голосов, которыми обладали лица, включенные в список лиц, имевших право на участие в  общем собрании акционеров, по данному вопросу повестки дня общего собрания, -  830 380. </w:t>
      </w:r>
    </w:p>
    <w:p w:rsidR="00A54D72" w:rsidRDefault="00A54D72" w:rsidP="00A54D72">
      <w:pPr>
        <w:tabs>
          <w:tab w:val="left" w:pos="4536"/>
        </w:tabs>
        <w:spacing w:before="120"/>
        <w:jc w:val="both"/>
      </w:pPr>
      <w:r>
        <w:t>Число голосов, приходившихся на голосующие акции общества, по данному вопросу повестки дня общего собрания, определенное с учетом требований п. 4.24. Положение Банка России № 660-П от 16.11.2018г. «Об общих собраниях акционеров», – 472 104.</w:t>
      </w:r>
    </w:p>
    <w:p w:rsidR="00A54D72" w:rsidRDefault="00A54D72" w:rsidP="00A54D72">
      <w:pPr>
        <w:tabs>
          <w:tab w:val="left" w:pos="4536"/>
        </w:tabs>
        <w:spacing w:before="120"/>
        <w:jc w:val="both"/>
      </w:pPr>
      <w:r>
        <w:t>Число голосов, которыми обладали лица, принявшие участие  в общем  собрании, по данному вопросу повестки дня собрания,  - 243 971.</w:t>
      </w:r>
    </w:p>
    <w:p w:rsidR="00A54D72" w:rsidRDefault="00A54D72" w:rsidP="00A54D72">
      <w:pPr>
        <w:tabs>
          <w:tab w:val="left" w:pos="4536"/>
        </w:tabs>
        <w:spacing w:before="120"/>
        <w:jc w:val="both"/>
      </w:pPr>
      <w:r>
        <w:t>Число голосов, которыми обладали лица, не заинтересованные в совершении обществом сделки,  принявшие участие  в общем  собрании акционеров по вопросу повестки дня собрания,  - 5 299.</w:t>
      </w:r>
    </w:p>
    <w:p w:rsidR="00A54D72" w:rsidRDefault="00A54D72" w:rsidP="00A54D72">
      <w:pPr>
        <w:tabs>
          <w:tab w:val="left" w:pos="4536"/>
        </w:tabs>
        <w:jc w:val="both"/>
      </w:pPr>
      <w:r>
        <w:t>Кворум по данному вопросу повестки дня имеется.</w:t>
      </w:r>
    </w:p>
    <w:p w:rsidR="00A54D72" w:rsidRDefault="00A54D72" w:rsidP="00A54D72">
      <w:pPr>
        <w:tabs>
          <w:tab w:val="left" w:pos="4536"/>
        </w:tabs>
        <w:jc w:val="both"/>
      </w:pPr>
      <w:r>
        <w:t>Число голосов, отданных за каждый из вариантов голосования по данному вопросу повестки дня собрания:</w:t>
      </w:r>
    </w:p>
    <w:p w:rsidR="00A54D72" w:rsidRDefault="00A54D72" w:rsidP="00A54D72">
      <w:pPr>
        <w:ind w:firstLine="709"/>
        <w:jc w:val="both"/>
      </w:pPr>
      <w:r>
        <w:t xml:space="preserve"> «за» -  5148;     «против» -   45;     «воздержался» - 69.</w:t>
      </w:r>
    </w:p>
    <w:p w:rsidR="00A54D72" w:rsidRDefault="00A54D72" w:rsidP="00A54D72">
      <w:pPr>
        <w:jc w:val="both"/>
      </w:pPr>
    </w:p>
    <w:p w:rsidR="00A54D72" w:rsidRDefault="00A54D72" w:rsidP="00A54D72">
      <w:pPr>
        <w:jc w:val="both"/>
      </w:pPr>
      <w:r>
        <w:rPr>
          <w:b/>
          <w:bCs/>
          <w:sz w:val="23"/>
          <w:szCs w:val="23"/>
        </w:rPr>
        <w:t xml:space="preserve">Решение собрания по третьему вопросу повестки дня: </w:t>
      </w:r>
      <w:r>
        <w:t>ПРЕДОСТАВИТЬ согласие на совершение сделки с заинтересованностью Кондратова Руслана Викторовича (является членом Совета директоров в АО «Терминал Астафьева» и АО «ДАЛЬКОМХОЛОД», а также является Генеральным директором Выгодоприобретателя), Берлинского Сергея Васильевича (является членом Совета директоров в АО «Терминал Астафьева» и АО «ДАЛЬКОМХОЛОД»), Оськина Алексея Николаевича (является членом Совета директоров в АО «Терминал Астафьева» и АО «ДАЛЬКОМХОЛОД»), а именно договора залога оборудования между Обществом и Банком в обеспечение исполнения обязательств АО «ДАЛЬКОМХОЛОД» (ИНН 2537003955) по кредитному соглашению  № КС-ЦУ-702750-2022-00045 от 16.12.2022 г. на сумму до 1 250 000 000 (один миллиард двести пятьдесят миллионов) рублей, сроком до 2555 (две тысячи пятьсот пятьдесят пять) календарных дней на следующих условиях:</w:t>
      </w:r>
    </w:p>
    <w:p w:rsidR="00A54D72" w:rsidRDefault="00A54D72" w:rsidP="00A54D72">
      <w:pPr>
        <w:jc w:val="both"/>
      </w:pPr>
      <w:r>
        <w:t>Вид сделки: Кредитная линия с лимитом выдачи.</w:t>
      </w:r>
    </w:p>
    <w:p w:rsidR="00A54D72" w:rsidRDefault="00A54D72" w:rsidP="00A54D72">
      <w:pPr>
        <w:jc w:val="both"/>
      </w:pPr>
      <w:r>
        <w:t>Сумма сделки: до 1 250 000 000,00 (один миллиард двести пятьдесят миллионов) рублей.</w:t>
      </w:r>
    </w:p>
    <w:p w:rsidR="00A54D72" w:rsidRDefault="00A54D72" w:rsidP="00A54D72">
      <w:pPr>
        <w:jc w:val="both"/>
      </w:pPr>
      <w:r>
        <w:t>Срок сделки: до 2555 дней календарных дней с даты заключения кредитного соглашения в соответствии с графиком погашения кредита, предусмотренным кредитным соглашением.</w:t>
      </w:r>
    </w:p>
    <w:p w:rsidR="00A54D72" w:rsidRDefault="00A54D72" w:rsidP="00A54D72">
      <w:pPr>
        <w:jc w:val="both"/>
      </w:pPr>
      <w:r>
        <w:t>Процентная ставка:</w:t>
      </w:r>
    </w:p>
    <w:p w:rsidR="00A54D72" w:rsidRDefault="00A54D72" w:rsidP="00A54D72">
      <w:pPr>
        <w:jc w:val="both"/>
      </w:pPr>
      <w:r>
        <w:t>не более 12,5 процентов годовых/ плавающая процентная ставка на базе ключевой ставки Банка России, утвержденная в соответствии с установленным в Банке порядком, определяется как Ключевая ставка Банка России, увеличенная не более чем на 4 процента годовых.</w:t>
      </w:r>
    </w:p>
    <w:p w:rsidR="00A54D72" w:rsidRDefault="00A54D72" w:rsidP="00A54D72">
      <w:pPr>
        <w:jc w:val="both"/>
      </w:pPr>
      <w:r>
        <w:t>Кредитор вправе в одностороннем порядке увеличить размер процентной ставки по Кредиту/Кредитам в случае увеличения следующих процентных индикаторов:</w:t>
      </w:r>
    </w:p>
    <w:p w:rsidR="00A54D72" w:rsidRDefault="00A54D72" w:rsidP="00A54D72">
      <w:pPr>
        <w:jc w:val="both"/>
      </w:pPr>
      <w:r>
        <w:t>а) ключевой ставки Банка России, публикуемой:</w:t>
      </w:r>
    </w:p>
    <w:p w:rsidR="00A54D72" w:rsidRDefault="00A54D72" w:rsidP="00A54D72">
      <w:pPr>
        <w:jc w:val="both"/>
      </w:pPr>
      <w:r>
        <w:t>• на сайте Банка России в сети Интернет (</w:t>
      </w:r>
      <w:hyperlink r:id="rId10" w:history="1">
        <w:r>
          <w:rPr>
            <w:color w:val="0000FF"/>
            <w:u w:val="single"/>
          </w:rPr>
          <w:t>www.cbr.ru</w:t>
        </w:r>
      </w:hyperlink>
      <w:r>
        <w:t>);</w:t>
      </w:r>
    </w:p>
    <w:p w:rsidR="00A54D72" w:rsidRDefault="00A54D72" w:rsidP="00A54D72">
      <w:pPr>
        <w:jc w:val="both"/>
      </w:pPr>
      <w:r>
        <w:t>и/или</w:t>
      </w:r>
    </w:p>
    <w:p w:rsidR="00A54D72" w:rsidRDefault="00A54D72" w:rsidP="00A54D72">
      <w:pPr>
        <w:jc w:val="both"/>
      </w:pPr>
      <w:r>
        <w:lastRenderedPageBreak/>
        <w:t>б) среднеарифметического значения за календарный месяц ставки бескупонной доходности ОФЗ со сроком до погашения 3 (Три) года по данным, публикуемым на:</w:t>
      </w:r>
    </w:p>
    <w:p w:rsidR="00A54D72" w:rsidRDefault="00A54D72" w:rsidP="00A54D72">
      <w:pPr>
        <w:jc w:val="both"/>
      </w:pPr>
      <w:r>
        <w:t>• на сайте Банка России в сети Интернет (</w:t>
      </w:r>
      <w:hyperlink r:id="rId11" w:history="1">
        <w:r>
          <w:rPr>
            <w:color w:val="0000FF"/>
            <w:u w:val="single"/>
          </w:rPr>
          <w:t>www.cbr.ru</w:t>
        </w:r>
      </w:hyperlink>
      <w:r>
        <w:t>);</w:t>
      </w:r>
    </w:p>
    <w:p w:rsidR="00A54D72" w:rsidRDefault="00A54D72" w:rsidP="00A54D72">
      <w:pPr>
        <w:jc w:val="both"/>
      </w:pPr>
      <w:r>
        <w:t>• на сайте Московской Биржи в сети Интернет (</w:t>
      </w:r>
      <w:hyperlink r:id="rId12" w:history="1">
        <w:r>
          <w:rPr>
            <w:color w:val="0000FF"/>
            <w:u w:val="single"/>
          </w:rPr>
          <w:t>www.moex.com</w:t>
        </w:r>
      </w:hyperlink>
      <w:r>
        <w:t>).</w:t>
      </w:r>
    </w:p>
    <w:p w:rsidR="00A54D72" w:rsidRDefault="00A54D72" w:rsidP="00A54D72">
      <w:pPr>
        <w:jc w:val="both"/>
      </w:pPr>
      <w:r>
        <w:t>Увеличение в одностороннем порядке процентной ставки осуществляется на величину роста процентного индикатора.</w:t>
      </w:r>
    </w:p>
    <w:p w:rsidR="00A54D72" w:rsidRDefault="00A54D72" w:rsidP="00A54D72">
      <w:pPr>
        <w:jc w:val="both"/>
      </w:pPr>
      <w:r>
        <w:t>Неустойки/надбавка к процентной ставке за поддержание кредитовых оборотов менее установленного размера: 1 % годовых;</w:t>
      </w:r>
    </w:p>
    <w:p w:rsidR="00A54D72" w:rsidRDefault="00A54D72" w:rsidP="00A54D72">
      <w:pPr>
        <w:jc w:val="both"/>
      </w:pPr>
      <w:r>
        <w:t>Неустойка/надбавка к процентной ставке за поддержание дебетовых оборотов менее установленного размера: 1 % годовых;</w:t>
      </w:r>
    </w:p>
    <w:p w:rsidR="00A54D72" w:rsidRDefault="00A54D72" w:rsidP="00A54D72">
      <w:pPr>
        <w:jc w:val="both"/>
      </w:pPr>
      <w:r>
        <w:t>В случае возникновения основания для применения надбавки одновременно за невыполнение кредитовых оборотов и дебетовых оборотов, надбавка может быть применена только по одному из оснований.</w:t>
      </w:r>
    </w:p>
    <w:p w:rsidR="00A54D72" w:rsidRDefault="00A54D72" w:rsidP="00A54D72">
      <w:pPr>
        <w:jc w:val="both"/>
      </w:pPr>
      <w:r>
        <w:t>Комиссии/ вознаграждения:</w:t>
      </w:r>
    </w:p>
    <w:p w:rsidR="00A54D72" w:rsidRDefault="00A54D72" w:rsidP="00A54D72">
      <w:pPr>
        <w:jc w:val="both"/>
      </w:pPr>
      <w:r>
        <w:t>•</w:t>
      </w:r>
      <w:r>
        <w:tab/>
        <w:t>За обязательство: до 0,65% годовых, начисляемая на неиспользованную сумму лимита выдачи.</w:t>
      </w:r>
    </w:p>
    <w:p w:rsidR="00A54D72" w:rsidRDefault="00A54D72" w:rsidP="00A54D72">
      <w:pPr>
        <w:jc w:val="both"/>
      </w:pPr>
      <w:r>
        <w:t>Штрафы и неустойки:</w:t>
      </w:r>
    </w:p>
    <w:p w:rsidR="00A54D72" w:rsidRDefault="00A54D72" w:rsidP="00A54D72">
      <w:pPr>
        <w:jc w:val="both"/>
      </w:pPr>
      <w:r>
        <w:t>•</w:t>
      </w:r>
      <w:r>
        <w:tab/>
        <w:t xml:space="preserve">штраф в размере 0.01% от суммы остатка основного долга по кредитному соглашению, сложившегося на момент выявления нарушения, в случае неисполнения\ненадлежащего исполнения заемщиком финансовых ковенант; </w:t>
      </w:r>
    </w:p>
    <w:p w:rsidR="00A54D72" w:rsidRDefault="00A54D72" w:rsidP="00A54D72">
      <w:pPr>
        <w:jc w:val="both"/>
      </w:pPr>
      <w:r>
        <w:t>•</w:t>
      </w:r>
      <w:r>
        <w:tab/>
        <w:t xml:space="preserve">неустойка в размере 1/365 максимальной процентной ставки от суммы просроченной задолженности по Основному долгу за каждый день просрочки, начисляемая в случае возникновения просроченной задолженности по Основному долгу; </w:t>
      </w:r>
    </w:p>
    <w:p w:rsidR="00A54D72" w:rsidRDefault="00A54D72" w:rsidP="00A54D72">
      <w:pPr>
        <w:jc w:val="both"/>
      </w:pPr>
      <w:r>
        <w:t>•</w:t>
      </w:r>
      <w:r>
        <w:tab/>
        <w:t>неустойка в 2/365 максимальной процентной ставки от суммы просроченной задолженности по процентам/комиссиям за каждый день просрочки, начисляемая в случае возникновения просроченной задолженности по процентам/комиссии;</w:t>
      </w:r>
    </w:p>
    <w:p w:rsidR="00A54D72" w:rsidRDefault="00A54D72" w:rsidP="00A54D72">
      <w:pPr>
        <w:jc w:val="both"/>
      </w:pPr>
      <w:r>
        <w:t>•</w:t>
      </w:r>
      <w:r>
        <w:tab/>
        <w:t>неустойка в размере 1/365 максимальной процентной ставки от суммы неисполненного или ненадлежащим образом исполненного обязательства за каждый день просрочки, в случае неисполнения или ненадлежащего исполнения Поручителем денежных обязательств по Договору поручительства;</w:t>
      </w:r>
    </w:p>
    <w:p w:rsidR="00A54D72" w:rsidRDefault="00A54D72" w:rsidP="00A54D72">
      <w:pPr>
        <w:jc w:val="both"/>
      </w:pPr>
      <w:r>
        <w:t>•</w:t>
      </w:r>
      <w:r>
        <w:tab/>
        <w:t>иные комиссии, надбавки к процентной ставке и санкции (неустойки, штрафы, пени и т.д.), предусмотренные кредитным соглашением и договором поручительства</w:t>
      </w:r>
    </w:p>
    <w:p w:rsidR="00A54D72" w:rsidRDefault="00A54D72" w:rsidP="00A54D72">
      <w:pPr>
        <w:jc w:val="both"/>
      </w:pPr>
      <w:r>
        <w:t>•</w:t>
      </w:r>
      <w:r>
        <w:tab/>
        <w:t xml:space="preserve">вид ответственности поручителя: солидарная; </w:t>
      </w:r>
    </w:p>
    <w:p w:rsidR="00A54D72" w:rsidRDefault="00A54D72" w:rsidP="00A54D72">
      <w:pPr>
        <w:jc w:val="both"/>
      </w:pPr>
      <w:r>
        <w:t>•</w:t>
      </w:r>
      <w:r>
        <w:tab/>
        <w:t xml:space="preserve">размер ответственности поручителя: на всю сумму обязательств; </w:t>
      </w:r>
    </w:p>
    <w:p w:rsidR="00A54D72" w:rsidRDefault="00A54D72" w:rsidP="00A54D72">
      <w:pPr>
        <w:jc w:val="both"/>
      </w:pPr>
      <w:r>
        <w:t>•</w:t>
      </w:r>
      <w:r>
        <w:tab/>
        <w:t>срок поручительства – срок сделки, увеличенный на 3 года.</w:t>
      </w:r>
    </w:p>
    <w:p w:rsidR="00A54D72" w:rsidRDefault="00A54D72" w:rsidP="00A54D72">
      <w:pPr>
        <w:jc w:val="both"/>
      </w:pPr>
    </w:p>
    <w:p w:rsidR="00A54D72" w:rsidRDefault="00A54D72" w:rsidP="00A54D72">
      <w:pPr>
        <w:jc w:val="both"/>
        <w:rPr>
          <w:b/>
          <w:bCs/>
        </w:rPr>
      </w:pPr>
    </w:p>
    <w:p w:rsidR="00A54D72" w:rsidRDefault="00A54D72" w:rsidP="00A54D72">
      <w:pPr>
        <w:jc w:val="both"/>
      </w:pPr>
      <w:r>
        <w:t>Функции счетной комиссии выполнял Регистратор:  Акционерное общество «Регистраторское общество «СТАТУС».</w:t>
      </w:r>
    </w:p>
    <w:p w:rsidR="00A54D72" w:rsidRDefault="00A54D72" w:rsidP="00A54D72">
      <w:pPr>
        <w:jc w:val="both"/>
      </w:pPr>
      <w:r>
        <w:lastRenderedPageBreak/>
        <w:t>Местонахождение общества: г. Москва</w:t>
      </w:r>
    </w:p>
    <w:p w:rsidR="00A54D72" w:rsidRDefault="00A54D72" w:rsidP="00A54D72">
      <w:pPr>
        <w:keepNext/>
        <w:rPr>
          <w:i/>
          <w:iCs/>
        </w:rPr>
      </w:pPr>
      <w:r>
        <w:t>Адрес общества: г. Москва, ул</w:t>
      </w:r>
      <w:r>
        <w:rPr>
          <w:i/>
          <w:iCs/>
        </w:rPr>
        <w:t xml:space="preserve">. </w:t>
      </w:r>
      <w:r>
        <w:t>Новохохловская, д.23, стр.1, пом.1</w:t>
      </w:r>
      <w:r>
        <w:rPr>
          <w:i/>
          <w:iCs/>
        </w:rPr>
        <w:t xml:space="preserve">.    </w:t>
      </w:r>
    </w:p>
    <w:p w:rsidR="00A54D72" w:rsidRDefault="00A54D72" w:rsidP="00A54D72">
      <w:pPr>
        <w:jc w:val="both"/>
      </w:pPr>
      <w:r>
        <w:t xml:space="preserve">Адрес Находкинского филиала АО «СТАТУС»: Приморский край, г. Находка, ул. Портовая, 3А, оф.218   </w:t>
      </w:r>
    </w:p>
    <w:p w:rsidR="00A54D72" w:rsidRDefault="00A54D72" w:rsidP="00A54D72">
      <w:pPr>
        <w:jc w:val="both"/>
      </w:pPr>
      <w:r>
        <w:t xml:space="preserve">Уполномоченное лицо Регистратора: Приц Светлана Анатольевна (доверенность № 7-22 от 11.01.2022г.).   </w:t>
      </w:r>
    </w:p>
    <w:p w:rsidR="00A54D72" w:rsidRDefault="00A54D72" w:rsidP="00A54D72">
      <w:pPr>
        <w:jc w:val="both"/>
        <w:rPr>
          <w:b/>
          <w:bCs/>
        </w:rPr>
      </w:pPr>
    </w:p>
    <w:p w:rsidR="00A54D72" w:rsidRDefault="00A54D72" w:rsidP="00A54D72">
      <w:pPr>
        <w:jc w:val="both"/>
        <w:rPr>
          <w:b/>
          <w:bCs/>
        </w:rPr>
      </w:pPr>
      <w:r>
        <w:rPr>
          <w:b/>
          <w:bCs/>
        </w:rPr>
        <w:t>Председатель собрания:                                     Гранатов А.И.</w:t>
      </w:r>
    </w:p>
    <w:p w:rsidR="00A54D72" w:rsidRDefault="00A54D72" w:rsidP="00A54D72">
      <w:pPr>
        <w:jc w:val="both"/>
        <w:rPr>
          <w:b/>
          <w:bCs/>
        </w:rPr>
      </w:pPr>
    </w:p>
    <w:p w:rsidR="00A54D72" w:rsidRDefault="00A54D72" w:rsidP="00A54D72">
      <w:pPr>
        <w:jc w:val="both"/>
        <w:rPr>
          <w:b/>
          <w:bCs/>
          <w:color w:val="FF0000"/>
        </w:rPr>
      </w:pPr>
      <w:r>
        <w:rPr>
          <w:b/>
          <w:bCs/>
        </w:rPr>
        <w:t>Секретарь собрания:                                           Селиверстов А.А.</w:t>
      </w:r>
      <w:r>
        <w:rPr>
          <w:b/>
          <w:bCs/>
          <w:color w:val="FF0000"/>
        </w:rPr>
        <w:tab/>
      </w:r>
    </w:p>
    <w:p w:rsidR="00A54D72" w:rsidRDefault="00A54D72" w:rsidP="00A54D72">
      <w:pPr>
        <w:jc w:val="both"/>
        <w:rPr>
          <w:b/>
          <w:bCs/>
          <w:color w:val="FF0000"/>
        </w:rPr>
      </w:pPr>
    </w:p>
    <w:p w:rsidR="000871BB" w:rsidRDefault="000871BB" w:rsidP="00A54D72">
      <w:bookmarkStart w:id="0" w:name="_GoBack"/>
      <w:bookmarkEnd w:id="0"/>
    </w:p>
    <w:sectPr w:rsidR="00087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72"/>
    <w:rsid w:val="000871BB"/>
    <w:rsid w:val="00A5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30BB9-8F90-4B2B-8E91-E05692BA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A54D72"/>
    <w:pPr>
      <w:autoSpaceDE w:val="0"/>
      <w:autoSpaceDN w:val="0"/>
      <w:adjustRightInd w:val="0"/>
      <w:spacing w:after="0" w:line="240" w:lineRule="auto"/>
      <w:outlineLvl w:val="1"/>
    </w:pPr>
    <w:rPr>
      <w:rFonts w:ascii="Times New Roman CYR" w:hAnsi="Times New Roman CYR" w:cs="Times New Roman CYR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54D72"/>
    <w:pPr>
      <w:autoSpaceDE w:val="0"/>
      <w:autoSpaceDN w:val="0"/>
      <w:adjustRightInd w:val="0"/>
      <w:spacing w:after="0" w:line="240" w:lineRule="auto"/>
      <w:outlineLvl w:val="2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4D72"/>
    <w:rPr>
      <w:rFonts w:ascii="Times New Roman CYR" w:hAnsi="Times New Roman CYR" w:cs="Times New Roman CYR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A54D72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cbr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www.cbr.ru" TargetMode="External"/><Relationship Id="rId12" Type="http://schemas.openxmlformats.org/officeDocument/2006/relationships/hyperlink" Target="www.moe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moex.com" TargetMode="External"/><Relationship Id="rId11" Type="http://schemas.openxmlformats.org/officeDocument/2006/relationships/hyperlink" Target="www.cbr.ru" TargetMode="External"/><Relationship Id="rId5" Type="http://schemas.openxmlformats.org/officeDocument/2006/relationships/hyperlink" Target="www.cbr.ru" TargetMode="External"/><Relationship Id="rId10" Type="http://schemas.openxmlformats.org/officeDocument/2006/relationships/hyperlink" Target="www.cbr.ru" TargetMode="External"/><Relationship Id="rId4" Type="http://schemas.openxmlformats.org/officeDocument/2006/relationships/hyperlink" Target="www.cbr.ru" TargetMode="External"/><Relationship Id="rId9" Type="http://schemas.openxmlformats.org/officeDocument/2006/relationships/hyperlink" Target="www.moex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2798</Words>
  <Characters>15951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2023-03-06T03:39:00Z</dcterms:created>
  <dcterms:modified xsi:type="dcterms:W3CDTF">2023-03-06T03:39:00Z</dcterms:modified>
</cp:coreProperties>
</file>